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>УТВЕРЖДАЮ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>Главный врач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Учреждения здравоохранения 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 «25-я центральная районная 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поликлиника 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Московского района 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 г. Минска»</w:t>
      </w:r>
    </w:p>
    <w:p w:rsidR="002B55E7" w:rsidRPr="002B55E7" w:rsidRDefault="002B55E7" w:rsidP="002B55E7">
      <w:pPr>
        <w:tabs>
          <w:tab w:val="left" w:pos="5670"/>
        </w:tabs>
        <w:spacing w:after="0" w:line="240" w:lineRule="auto"/>
        <w:ind w:left="0" w:right="0" w:firstLine="5670"/>
        <w:jc w:val="left"/>
        <w:rPr>
          <w:color w:val="auto"/>
          <w:sz w:val="28"/>
          <w:szCs w:val="28"/>
        </w:rPr>
      </w:pPr>
      <w:r w:rsidRPr="002B55E7">
        <w:rPr>
          <w:color w:val="auto"/>
          <w:sz w:val="28"/>
          <w:szCs w:val="28"/>
        </w:rPr>
        <w:t xml:space="preserve"> ___________Н.Н. </w:t>
      </w:r>
      <w:proofErr w:type="spellStart"/>
      <w:r w:rsidRPr="002B55E7">
        <w:rPr>
          <w:color w:val="auto"/>
          <w:sz w:val="28"/>
          <w:szCs w:val="28"/>
        </w:rPr>
        <w:t>Зубелевич</w:t>
      </w:r>
      <w:proofErr w:type="spellEnd"/>
    </w:p>
    <w:p w:rsidR="002B55E7" w:rsidRPr="002B55E7" w:rsidRDefault="002B55E7" w:rsidP="002B55E7">
      <w:pPr>
        <w:spacing w:after="29" w:line="259" w:lineRule="auto"/>
        <w:ind w:left="0" w:firstLine="0"/>
      </w:pPr>
    </w:p>
    <w:p w:rsidR="002B55E7" w:rsidRPr="002B55E7" w:rsidRDefault="002B55E7" w:rsidP="002B55E7">
      <w:pPr>
        <w:spacing w:after="29" w:line="259" w:lineRule="auto"/>
        <w:ind w:left="0" w:firstLine="0"/>
        <w:jc w:val="center"/>
      </w:pPr>
      <w:r w:rsidRPr="002B55E7">
        <w:t xml:space="preserve">Перечень вопросов </w:t>
      </w:r>
    </w:p>
    <w:p w:rsidR="002B55E7" w:rsidRPr="002B55E7" w:rsidRDefault="002B55E7" w:rsidP="002B55E7">
      <w:pPr>
        <w:spacing w:after="18"/>
        <w:ind w:left="-3" w:right="0" w:firstLine="0"/>
      </w:pPr>
      <w:r w:rsidRPr="002B55E7">
        <w:t xml:space="preserve">для подготовки к устной части аттестационного экзамена (собеседованию) </w:t>
      </w:r>
    </w:p>
    <w:p w:rsidR="002B55E7" w:rsidRPr="002B55E7" w:rsidRDefault="002B55E7" w:rsidP="002B55E7">
      <w:pPr>
        <w:spacing w:after="13"/>
        <w:ind w:left="1875" w:right="0" w:hanging="1637"/>
      </w:pPr>
      <w:r w:rsidRPr="002B55E7">
        <w:t xml:space="preserve">на присвоение (подтверждение) </w:t>
      </w:r>
      <w:r>
        <w:rPr>
          <w:b/>
        </w:rPr>
        <w:t>перв</w:t>
      </w:r>
      <w:r w:rsidRPr="002B55E7">
        <w:rPr>
          <w:b/>
        </w:rPr>
        <w:t>ой</w:t>
      </w:r>
      <w:r w:rsidRPr="002B55E7">
        <w:t xml:space="preserve"> квалификационной категории по квалификации </w:t>
      </w:r>
      <w:r w:rsidRPr="002B55E7">
        <w:rPr>
          <w:b/>
        </w:rPr>
        <w:t>«медицинский статистик»</w:t>
      </w:r>
      <w:r w:rsidRPr="002B55E7">
        <w:t xml:space="preserve"> </w:t>
      </w:r>
    </w:p>
    <w:p w:rsidR="007304A9" w:rsidRDefault="007304A9" w:rsidP="002B55E7">
      <w:pPr>
        <w:spacing w:after="32" w:line="259" w:lineRule="auto"/>
        <w:ind w:left="0" w:right="0" w:firstLine="0"/>
        <w:jc w:val="left"/>
      </w:pPr>
    </w:p>
    <w:p w:rsidR="007304A9" w:rsidRDefault="0067382E">
      <w:pPr>
        <w:numPr>
          <w:ilvl w:val="0"/>
          <w:numId w:val="1"/>
        </w:numPr>
        <w:ind w:right="0" w:hanging="566"/>
      </w:pPr>
      <w:r>
        <w:t xml:space="preserve">Медицинская помощь. Виды и формы оказания медицинской помощи.  </w:t>
      </w:r>
    </w:p>
    <w:p w:rsidR="007304A9" w:rsidRDefault="0067382E">
      <w:pPr>
        <w:numPr>
          <w:ilvl w:val="0"/>
          <w:numId w:val="1"/>
        </w:numPr>
        <w:ind w:right="0" w:hanging="566"/>
      </w:pPr>
      <w:r>
        <w:t xml:space="preserve">Нормативные правовые акты, регламентирующие работу по борьбе  с коррупцией. Порядок действий медицинского работника при попытке дачи взятки пациентом. </w:t>
      </w:r>
    </w:p>
    <w:p w:rsidR="007304A9" w:rsidRDefault="0067382E">
      <w:pPr>
        <w:numPr>
          <w:ilvl w:val="0"/>
          <w:numId w:val="1"/>
        </w:numPr>
        <w:ind w:right="0" w:hanging="566"/>
      </w:pPr>
      <w:r>
        <w:t xml:space="preserve">Права и обязанности медицинских работников в соответствии  с Законом Республики Беларусь «О здравоохранении». </w:t>
      </w:r>
    </w:p>
    <w:p w:rsidR="007304A9" w:rsidRDefault="0067382E">
      <w:pPr>
        <w:numPr>
          <w:ilvl w:val="0"/>
          <w:numId w:val="1"/>
        </w:numPr>
        <w:ind w:right="0" w:hanging="566"/>
      </w:pPr>
      <w:r>
        <w:t xml:space="preserve">Организация работы медицинского статистика со средним специальным медицинским образованием. </w:t>
      </w:r>
    </w:p>
    <w:p w:rsidR="007304A9" w:rsidRDefault="0067382E">
      <w:pPr>
        <w:numPr>
          <w:ilvl w:val="0"/>
          <w:numId w:val="1"/>
        </w:numPr>
        <w:ind w:right="0" w:hanging="566"/>
      </w:pPr>
      <w:r>
        <w:t xml:space="preserve">Правила медицинской этики и деонтологии. Взаимоотношения медицинского работника с пациентами и коллегами.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Медицинская статистика, ее разделы, задачи.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Основные этапы статистического исследования, их характеристика.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Определение понятий «групповое» и «индивидуальное» здоровье.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Определение понятия «здоровье» по Всемирной организации здравоохранения (ВОЗ).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Показатели здоровья населения: демографические показатели, показатели заболеваемости, инвалидности и физического развития. Методика расчета.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lastRenderedPageBreak/>
        <w:t xml:space="preserve">Организация статистического учета и анализа в системе здравоохранения Республики Беларусь.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Виды статистических величин, их характеристика.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Медико-демографические показатели. </w:t>
      </w:r>
    </w:p>
    <w:p w:rsidR="002B55E7" w:rsidRDefault="0067382E" w:rsidP="00D81D3A">
      <w:pPr>
        <w:numPr>
          <w:ilvl w:val="0"/>
          <w:numId w:val="1"/>
        </w:numPr>
        <w:ind w:right="0" w:hanging="566"/>
      </w:pPr>
      <w:r>
        <w:t xml:space="preserve">Показатели естественного прироста (убыли) населения, показатель ожидаемой продолжительности предстоящей жизни.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Показатель естественного прироста населения. Методика расчета из абсолютных величин и относительных показателей.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Смертность. Ведущие причины смерти в Республике Беларусь.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Заболеваемость населения. Значение данных о заболеваемости для здравоохранения. Современное состояние заболеваемости  в Республике Беларусь.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Анализ понятия «заболеваемость населения». Методика расчета показателей первичной и общей заболеваемости.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Методы изучения заболеваемости населения, их характеристика. Первичная и общая заболеваемость. Учетные и отчетные документы.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Методика изучения заболеваемости по данным о причинах смерти. Учетные документы.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Методика изучения заболеваемости с временной утратой трудоспособности. Учетные и отчетные документы. Методика вычисления показателей.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Краткая характеристика Международной статистической классификации болезней и проблем, связанных со здоровьем      (МКБ-10): значение, принципы построения, порядок использования, практическое применение в работе медицинского статистика.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Правила кодирования по МКБ-10 внешних причин заболеваемости. Кодирование комбинированными рубриками.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Правила кодирования по МКБ-10 единичных и множественных состояний, острых и хронических заболеваний.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lastRenderedPageBreak/>
        <w:t xml:space="preserve">Условные обозначения в МКБ-10, двойное кодирование. Практическое применение МКБ-10 в работе медицинского статистика.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Функция врачебной должности. Порядок определения плановой функции врачебной должности.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bookmarkStart w:id="0" w:name="_GoBack"/>
      <w:bookmarkEnd w:id="0"/>
      <w:r>
        <w:t xml:space="preserve">Модель конечных результатов деятельности организаций здравоохранения, содержание, роль в повышении эффективности работы амбулаторно-поликлинических организаций (организаций стационарного типа).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Методика расчета модели конечных результатов деятельности организаций здравоохранения. Назначение, методика расчета коэффициента достижения результата.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Расчет </w:t>
      </w:r>
      <w:r>
        <w:tab/>
        <w:t xml:space="preserve">мощности </w:t>
      </w:r>
      <w:r>
        <w:tab/>
        <w:t xml:space="preserve">амбулаторно-поликлинических </w:t>
      </w:r>
      <w:r>
        <w:tab/>
        <w:t xml:space="preserve">организаций здравоохранения.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Значение и источники данных статистического изучения работы поликлиники (стационара). Источники информации.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Группы </w:t>
      </w:r>
      <w:r>
        <w:tab/>
        <w:t xml:space="preserve">основных </w:t>
      </w:r>
      <w:r>
        <w:tab/>
        <w:t xml:space="preserve">показателей </w:t>
      </w:r>
      <w:r>
        <w:tab/>
        <w:t xml:space="preserve">деятельности </w:t>
      </w:r>
      <w:r>
        <w:tab/>
        <w:t xml:space="preserve">поликлиники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(стационара), их краткая характеристика.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Объект медико-статистического исследования.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Показатели деятельности в амбулаторно-поликлинических организациях здравоохранения (стационарах). Методика расчета.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Нормативные правовые акты, регламентирующие требования санитарно-противоэпидемического режима в учреждениях здравоохранения.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Санитарно-эпидемиологические требования к внешнему виду и к личной гигиене медицинских работников, к спецодежде, обуви, к средствам индивидуальной защиты и условиям их использования в практике медицинского статистика. 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Гигиеническая антисептика кожи рук медицинского персонала. Показания и этапы проведения гигиенической антисептики кожи рук. </w:t>
      </w:r>
    </w:p>
    <w:p w:rsidR="002F0D08" w:rsidRDefault="0067382E" w:rsidP="00D81D3A">
      <w:pPr>
        <w:numPr>
          <w:ilvl w:val="0"/>
          <w:numId w:val="1"/>
        </w:numPr>
        <w:ind w:right="0" w:hanging="566"/>
      </w:pPr>
      <w:r>
        <w:lastRenderedPageBreak/>
        <w:t xml:space="preserve">Санитарно-эпидемиологические требования к режиму уборок и бельевому режиму в кабинете статистики.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Инфекции, связанные с оказанием медицинской помощи (ИСМП). Определение. Причины и условия возникновения и распространения ИСМП. Профилактика ИСМП.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Дезинфекция. Методы и режимы дезинфекции. </w:t>
      </w:r>
    </w:p>
    <w:p w:rsidR="00194CF4" w:rsidRDefault="0067382E" w:rsidP="00D81D3A">
      <w:pPr>
        <w:numPr>
          <w:ilvl w:val="0"/>
          <w:numId w:val="1"/>
        </w:numPr>
        <w:ind w:right="0" w:hanging="566"/>
      </w:pPr>
      <w:r>
        <w:t xml:space="preserve">Нормативные правовые акты, регламентирующие порядок обращения с медицинскими отходами в учреждениях здравоохранения. Мероприятия по обеспечению безопасных условий труда медицинского персонала при обращении с медицинскими отходами.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Система обращения с медицинскими отходами в кабинете статистики: дезинфекция и сбор отходов, порядок маркировки одноразовой и многоразовой тары, транспортировка и порядок временного хранения отходов.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Мероприятия по обеспечению безопасных условий труда медицинского персонала.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Ответственность медицинских работников за нарушения требований законодательства об охране труда. </w:t>
      </w:r>
    </w:p>
    <w:p w:rsidR="007304A9" w:rsidRDefault="0067382E" w:rsidP="00D81D3A">
      <w:pPr>
        <w:numPr>
          <w:ilvl w:val="0"/>
          <w:numId w:val="1"/>
        </w:numPr>
        <w:ind w:right="0" w:hanging="566"/>
      </w:pPr>
      <w:r>
        <w:t xml:space="preserve">Инструктажи по охране труда, особенности и порядок их проведения. </w:t>
      </w:r>
    </w:p>
    <w:sectPr w:rsidR="007304A9">
      <w:headerReference w:type="even" r:id="rId8"/>
      <w:headerReference w:type="default" r:id="rId9"/>
      <w:headerReference w:type="first" r:id="rId10"/>
      <w:pgSz w:w="11906" w:h="16838"/>
      <w:pgMar w:top="1204" w:right="563" w:bottom="148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C2" w:rsidRDefault="001760C2">
      <w:pPr>
        <w:spacing w:after="0" w:line="240" w:lineRule="auto"/>
      </w:pPr>
      <w:r>
        <w:separator/>
      </w:r>
    </w:p>
  </w:endnote>
  <w:endnote w:type="continuationSeparator" w:id="0">
    <w:p w:rsidR="001760C2" w:rsidRDefault="0017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C2" w:rsidRDefault="001760C2">
      <w:pPr>
        <w:spacing w:after="0" w:line="240" w:lineRule="auto"/>
      </w:pPr>
      <w:r>
        <w:separator/>
      </w:r>
    </w:p>
  </w:footnote>
  <w:footnote w:type="continuationSeparator" w:id="0">
    <w:p w:rsidR="001760C2" w:rsidRDefault="0017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A9" w:rsidRDefault="0067382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04A9" w:rsidRDefault="0067382E">
    <w:pPr>
      <w:spacing w:after="5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304A9" w:rsidRDefault="0067382E">
    <w:pPr>
      <w:spacing w:after="0" w:line="259" w:lineRule="auto"/>
      <w:ind w:left="374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A9" w:rsidRDefault="0067382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D3A" w:rsidRPr="00D81D3A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04A9" w:rsidRDefault="0067382E">
    <w:pPr>
      <w:spacing w:after="5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304A9" w:rsidRDefault="0067382E">
    <w:pPr>
      <w:spacing w:after="0" w:line="259" w:lineRule="auto"/>
      <w:ind w:left="374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A9" w:rsidRDefault="007304A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F0B"/>
    <w:multiLevelType w:val="hybridMultilevel"/>
    <w:tmpl w:val="3BDCAEFE"/>
    <w:lvl w:ilvl="0" w:tplc="FBBC1478">
      <w:start w:val="1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F26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DAD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BAF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165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9A4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8EF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6C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683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384350"/>
    <w:multiLevelType w:val="hybridMultilevel"/>
    <w:tmpl w:val="4670C156"/>
    <w:lvl w:ilvl="0" w:tplc="774C25AC">
      <w:start w:val="2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E0E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E21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1A8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327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B0D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20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6CB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A8A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3B147F"/>
    <w:multiLevelType w:val="hybridMultilevel"/>
    <w:tmpl w:val="07CC95EC"/>
    <w:lvl w:ilvl="0" w:tplc="21E47B82">
      <w:start w:val="5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AAD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A2B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B89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307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A86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28B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C8E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DA4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A406C0"/>
    <w:multiLevelType w:val="hybridMultilevel"/>
    <w:tmpl w:val="460A427A"/>
    <w:lvl w:ilvl="0" w:tplc="BEF4483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F4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8EF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9E5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7CD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CCD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BC8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D45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CA4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EF6447"/>
    <w:multiLevelType w:val="hybridMultilevel"/>
    <w:tmpl w:val="A97CA3A2"/>
    <w:lvl w:ilvl="0" w:tplc="FEAA60D4">
      <w:start w:val="4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ACD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16A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087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520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0B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68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7AD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86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9"/>
    <w:rsid w:val="00053BB6"/>
    <w:rsid w:val="0016053C"/>
    <w:rsid w:val="001760C2"/>
    <w:rsid w:val="00194CF4"/>
    <w:rsid w:val="002B55E7"/>
    <w:rsid w:val="002F0D08"/>
    <w:rsid w:val="0067382E"/>
    <w:rsid w:val="007304A9"/>
    <w:rsid w:val="00B304EF"/>
    <w:rsid w:val="00D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5" w:line="269" w:lineRule="auto"/>
      <w:ind w:left="576" w:right="4" w:hanging="576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5" w:line="269" w:lineRule="auto"/>
      <w:ind w:left="576" w:right="4" w:hanging="576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cp:lastModifiedBy>229-1</cp:lastModifiedBy>
  <cp:revision>4</cp:revision>
  <dcterms:created xsi:type="dcterms:W3CDTF">2025-02-07T09:44:00Z</dcterms:created>
  <dcterms:modified xsi:type="dcterms:W3CDTF">2025-02-10T11:12:00Z</dcterms:modified>
</cp:coreProperties>
</file>